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4CFB1" w14:textId="77777777" w:rsidR="000348ED" w:rsidRPr="00B15B24" w:rsidRDefault="005D05AC" w:rsidP="005D05AC">
      <w:pPr>
        <w:pStyle w:val="Title"/>
        <w:spacing w:before="480" w:after="120"/>
      </w:pPr>
      <w:bookmarkStart w:id="0" w:name="_GoBack"/>
      <w:bookmarkEnd w:id="0"/>
      <w:r w:rsidRPr="00B15B24">
        <w:t>Liaison Note</w:t>
      </w:r>
      <w:r w:rsidR="003F09F0">
        <w:t xml:space="preserve"> to </w:t>
      </w:r>
      <w:r w:rsidR="007501F3">
        <w:t>IMO e-Navigation Correspondence Group</w:t>
      </w:r>
    </w:p>
    <w:p w14:paraId="7C30813B" w14:textId="77777777" w:rsidR="000348ED" w:rsidRPr="00B15B24" w:rsidRDefault="007501F3" w:rsidP="005D05AC">
      <w:pPr>
        <w:pStyle w:val="Title"/>
        <w:spacing w:after="120"/>
      </w:pPr>
      <w:r>
        <w:rPr>
          <w:color w:val="000000"/>
        </w:rPr>
        <w:t>M</w:t>
      </w:r>
      <w:r w:rsidR="00282526">
        <w:rPr>
          <w:color w:val="000000"/>
        </w:rPr>
        <w:t xml:space="preserve">aritime </w:t>
      </w:r>
      <w:r>
        <w:rPr>
          <w:color w:val="000000"/>
        </w:rPr>
        <w:t>S</w:t>
      </w:r>
      <w:r w:rsidR="00282526">
        <w:rPr>
          <w:color w:val="000000"/>
        </w:rPr>
        <w:t xml:space="preserve">ervice </w:t>
      </w:r>
      <w:r>
        <w:rPr>
          <w:color w:val="000000"/>
        </w:rPr>
        <w:t>P</w:t>
      </w:r>
      <w:r w:rsidR="00282526">
        <w:rPr>
          <w:color w:val="000000"/>
        </w:rPr>
        <w:t>ortfolio</w:t>
      </w:r>
      <w:r>
        <w:rPr>
          <w:color w:val="000000"/>
        </w:rPr>
        <w:t>s</w:t>
      </w:r>
    </w:p>
    <w:p w14:paraId="6BDA9CA8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3CB8CC59" w14:textId="2C30F486" w:rsidR="00B8247E" w:rsidRPr="00B15B24" w:rsidRDefault="007501F3" w:rsidP="00D61A41">
      <w:pPr>
        <w:pStyle w:val="BodyText"/>
      </w:pPr>
      <w:r>
        <w:t>At e-NAV13, the Co</w:t>
      </w:r>
      <w:r w:rsidR="00D61A41">
        <w:t>-</w:t>
      </w:r>
      <w:r>
        <w:t>ordinator of the IMO e-Navigation Correspondence Group requested the Committee to link the e-Navigation potential solutions with Maritime Service Portfolios (MSPs) tha</w:t>
      </w:r>
      <w:r w:rsidR="00D61A41">
        <w:t>t may fall under IALA ‘s remit.</w:t>
      </w:r>
    </w:p>
    <w:p w14:paraId="491515FA" w14:textId="6D19D8B3" w:rsidR="00872241" w:rsidRPr="00872241" w:rsidRDefault="007501F3" w:rsidP="00902AA4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3F18DB09" w14:textId="1FAE8488" w:rsidR="00872241" w:rsidRDefault="00975642" w:rsidP="00902AA4">
      <w:pPr>
        <w:pStyle w:val="BodyText"/>
      </w:pPr>
      <w:r>
        <w:t xml:space="preserve">The IALA e-NAV has given consideration to the mapping of potential e-Navigation solutions to MSPs.  However, this should only be considered as a preliminary review and will be considered further at e-NAV14 (September 2013) </w:t>
      </w:r>
      <w:r w:rsidR="008E41AA">
        <w:t xml:space="preserve">and </w:t>
      </w:r>
      <w:r>
        <w:t>w</w:t>
      </w:r>
      <w:r w:rsidR="008E41AA">
        <w:t>hilst the Committee</w:t>
      </w:r>
      <w:r>
        <w:t xml:space="preserve"> continue</w:t>
      </w:r>
      <w:r w:rsidR="008E41AA">
        <w:t>s</w:t>
      </w:r>
      <w:r>
        <w:t xml:space="preserve"> to develop</w:t>
      </w:r>
      <w:r w:rsidRPr="00975642">
        <w:t xml:space="preserve"> </w:t>
      </w:r>
      <w:r>
        <w:t>MSPs.</w:t>
      </w:r>
    </w:p>
    <w:p w14:paraId="23D023A9" w14:textId="576B012C" w:rsidR="00902AA4" w:rsidRDefault="007501F3" w:rsidP="00902AA4">
      <w:pPr>
        <w:pStyle w:val="BodyText"/>
      </w:pPr>
      <w:r w:rsidRPr="00D61A41">
        <w:t>At Annex</w:t>
      </w:r>
      <w:r w:rsidR="00D61A41">
        <w:t xml:space="preserve"> A</w:t>
      </w:r>
      <w:r w:rsidRPr="00D61A41">
        <w:t xml:space="preserve">, </w:t>
      </w:r>
      <w:r w:rsidR="00041F62" w:rsidRPr="00D61A41">
        <w:t>IALA</w:t>
      </w:r>
      <w:r w:rsidRPr="00D61A41">
        <w:t xml:space="preserve"> note</w:t>
      </w:r>
      <w:r w:rsidR="00041F62" w:rsidRPr="00D61A41">
        <w:t>s</w:t>
      </w:r>
      <w:r w:rsidRPr="00D61A41">
        <w:t xml:space="preserve"> the list of solutions and the reduced prioritized list, as well as the revised list</w:t>
      </w:r>
      <w:r>
        <w:t xml:space="preserve"> of MSPs.  </w:t>
      </w:r>
      <w:r w:rsidRPr="00F47FEE">
        <w:t xml:space="preserve">From the prioritized list of solutions, </w:t>
      </w:r>
      <w:r w:rsidR="00041F62" w:rsidRPr="00F47FEE">
        <w:t xml:space="preserve">IALA </w:t>
      </w:r>
      <w:r w:rsidRPr="00F47FEE">
        <w:t xml:space="preserve">noted </w:t>
      </w:r>
      <w:proofErr w:type="gramStart"/>
      <w:r w:rsidR="00102565" w:rsidRPr="00F47FEE">
        <w:t xml:space="preserve">that </w:t>
      </w:r>
      <w:r w:rsidRPr="00F47FEE">
        <w:t>t</w:t>
      </w:r>
      <w:r w:rsidR="00F47FEE" w:rsidRPr="00F47FEE">
        <w:t>hree</w:t>
      </w:r>
      <w:r w:rsidRPr="00F47FEE">
        <w:t xml:space="preserve"> </w:t>
      </w:r>
      <w:r w:rsidR="00F47FEE" w:rsidRPr="00F47FEE">
        <w:t xml:space="preserve">fall </w:t>
      </w:r>
      <w:r w:rsidR="00872241">
        <w:t xml:space="preserve">directly </w:t>
      </w:r>
      <w:r w:rsidR="00F47FEE" w:rsidRPr="00F47FEE">
        <w:t>within</w:t>
      </w:r>
      <w:r w:rsidRPr="00F47FEE">
        <w:t xml:space="preserve"> </w:t>
      </w:r>
      <w:r w:rsidR="00041F62" w:rsidRPr="00F47FEE">
        <w:t>its</w:t>
      </w:r>
      <w:r w:rsidRPr="00F47FEE">
        <w:t xml:space="preserve"> </w:t>
      </w:r>
      <w:r w:rsidR="00F47FEE" w:rsidRPr="00F47FEE">
        <w:t>area of responsibility</w:t>
      </w:r>
      <w:proofErr w:type="gramEnd"/>
      <w:r w:rsidRPr="00F47FEE">
        <w:t xml:space="preserve">.  </w:t>
      </w:r>
      <w:r w:rsidR="00872241">
        <w:t>I</w:t>
      </w:r>
      <w:r w:rsidR="00102565" w:rsidRPr="00F47FEE">
        <w:t xml:space="preserve">t was </w:t>
      </w:r>
      <w:r w:rsidR="00872241">
        <w:t>identified</w:t>
      </w:r>
      <w:r w:rsidR="00102565" w:rsidRPr="00F47FEE">
        <w:t xml:space="preserve"> that IALA </w:t>
      </w:r>
      <w:r w:rsidR="00F77094" w:rsidRPr="00F47FEE">
        <w:t>h</w:t>
      </w:r>
      <w:r w:rsidR="00102565" w:rsidRPr="00F47FEE">
        <w:t xml:space="preserve">as </w:t>
      </w:r>
      <w:r w:rsidR="00872241">
        <w:t>expertise</w:t>
      </w:r>
      <w:r w:rsidR="00F77094" w:rsidRPr="00F47FEE">
        <w:t xml:space="preserve"> across several</w:t>
      </w:r>
      <w:r w:rsidR="00041F62" w:rsidRPr="00F47FEE">
        <w:t xml:space="preserve"> MSPs</w:t>
      </w:r>
      <w:r w:rsidR="00F77094" w:rsidRPr="00F47FEE">
        <w:t xml:space="preserve"> and that it is necessary to consider the ship – shore interfaces</w:t>
      </w:r>
      <w:r w:rsidR="00041F62" w:rsidRPr="00F47FEE">
        <w:t>.</w:t>
      </w:r>
    </w:p>
    <w:p w14:paraId="02F4E0CA" w14:textId="77777777" w:rsidR="00077BB5" w:rsidRPr="00282526" w:rsidRDefault="00077BB5" w:rsidP="00077BB5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r w:rsidRPr="00282526">
        <w:rPr>
          <w:rFonts w:eastAsia="Calibri" w:cs="Calibri"/>
          <w:b/>
          <w:caps/>
          <w:kern w:val="28"/>
          <w:sz w:val="24"/>
          <w:szCs w:val="22"/>
          <w:lang w:eastAsia="de-DE"/>
        </w:rPr>
        <w:t>Action Requested</w:t>
      </w:r>
    </w:p>
    <w:p w14:paraId="0760696C" w14:textId="06144AD8" w:rsidR="00077BB5" w:rsidRPr="00282526" w:rsidRDefault="00D61A41" w:rsidP="008B301E">
      <w:pPr>
        <w:pStyle w:val="BodyText"/>
        <w:rPr>
          <w:rFonts w:eastAsia="Calibri"/>
        </w:rPr>
      </w:pPr>
      <w:r>
        <w:rPr>
          <w:rFonts w:cs="Arial"/>
          <w:lang w:eastAsia="de-DE"/>
        </w:rPr>
        <w:t>The IMO CG on e-N</w:t>
      </w:r>
      <w:r w:rsidRPr="00530F2C">
        <w:rPr>
          <w:rFonts w:cs="Arial"/>
          <w:lang w:eastAsia="de-DE"/>
        </w:rPr>
        <w:t>avigation is invited to consider th</w:t>
      </w:r>
      <w:r>
        <w:rPr>
          <w:rFonts w:cs="Arial"/>
          <w:lang w:eastAsia="de-DE"/>
        </w:rPr>
        <w:t>e</w:t>
      </w:r>
      <w:r w:rsidRPr="00530F2C">
        <w:rPr>
          <w:rFonts w:cs="Arial"/>
          <w:lang w:eastAsia="de-DE"/>
        </w:rPr>
        <w:t xml:space="preserve"> </w:t>
      </w:r>
      <w:r w:rsidR="00F47FEE">
        <w:rPr>
          <w:rFonts w:cs="Arial"/>
          <w:lang w:eastAsia="de-DE"/>
        </w:rPr>
        <w:t xml:space="preserve">preliminary </w:t>
      </w:r>
      <w:r>
        <w:rPr>
          <w:rFonts w:cs="Arial"/>
          <w:lang w:eastAsia="de-DE"/>
        </w:rPr>
        <w:t>information at Annex A</w:t>
      </w:r>
      <w:r w:rsidRPr="00530F2C">
        <w:rPr>
          <w:rFonts w:cs="Arial"/>
          <w:lang w:eastAsia="de-DE"/>
        </w:rPr>
        <w:t xml:space="preserve"> and decide as appropriate.</w:t>
      </w:r>
    </w:p>
    <w:p w14:paraId="18B90505" w14:textId="77777777" w:rsidR="00077BB5" w:rsidRDefault="00077BB5"/>
    <w:p w14:paraId="0D023E71" w14:textId="77777777" w:rsidR="00282526" w:rsidRDefault="00282526">
      <w:pPr>
        <w:rPr>
          <w:szCs w:val="24"/>
        </w:rPr>
      </w:pPr>
      <w:r>
        <w:br w:type="page"/>
      </w:r>
    </w:p>
    <w:p w14:paraId="2A223108" w14:textId="77777777" w:rsidR="00282526" w:rsidRPr="00282526" w:rsidRDefault="00077BB5" w:rsidP="00077BB5">
      <w:pPr>
        <w:pStyle w:val="Annex"/>
      </w:pPr>
      <w:r>
        <w:lastRenderedPageBreak/>
        <w:t>linkage of Msp</w:t>
      </w:r>
      <w:r>
        <w:rPr>
          <w:caps w:val="0"/>
        </w:rPr>
        <w:t>s</w:t>
      </w:r>
      <w:r>
        <w:t xml:space="preserve"> to potential </w:t>
      </w:r>
      <w:r>
        <w:rPr>
          <w:caps w:val="0"/>
        </w:rPr>
        <w:t>e</w:t>
      </w:r>
      <w:r>
        <w:t>-Navigation solutions under IALA’</w:t>
      </w:r>
      <w:r>
        <w:rPr>
          <w:caps w:val="0"/>
        </w:rPr>
        <w:t>s</w:t>
      </w:r>
      <w:r>
        <w:t xml:space="preserve"> remit</w:t>
      </w:r>
    </w:p>
    <w:p w14:paraId="7CBFD608" w14:textId="65B67DA1" w:rsidR="00282526" w:rsidRPr="00077BB5" w:rsidRDefault="00282526" w:rsidP="00C62E9C">
      <w:pPr>
        <w:pStyle w:val="AnnexHeading1"/>
      </w:pPr>
      <w:r w:rsidRPr="00077BB5">
        <w:t>Introduction</w:t>
      </w:r>
    </w:p>
    <w:p w14:paraId="6682FC75" w14:textId="77777777" w:rsidR="00282526" w:rsidRPr="00282526" w:rsidRDefault="00282526" w:rsidP="00282526">
      <w:pPr>
        <w:spacing w:after="200"/>
        <w:rPr>
          <w:rFonts w:ascii="Calibri" w:eastAsia="Calibri" w:hAnsi="Calibri"/>
          <w:szCs w:val="22"/>
        </w:rPr>
      </w:pPr>
      <w:r w:rsidRPr="00282526">
        <w:rPr>
          <w:rFonts w:ascii="Calibri" w:eastAsia="Calibri" w:hAnsi="Calibri"/>
          <w:szCs w:val="22"/>
        </w:rPr>
        <w:t>This note has been prepared by the Chair and Vice Chair of the IALA e-Navigation Committee in response to a request from the C</w:t>
      </w:r>
      <w:r w:rsidR="00077BB5">
        <w:rPr>
          <w:rFonts w:ascii="Calibri" w:eastAsia="Calibri" w:hAnsi="Calibri"/>
          <w:szCs w:val="22"/>
        </w:rPr>
        <w:t>o-ordinator</w:t>
      </w:r>
      <w:r w:rsidRPr="00282526">
        <w:rPr>
          <w:rFonts w:ascii="Calibri" w:eastAsia="Calibri" w:hAnsi="Calibri"/>
          <w:szCs w:val="22"/>
        </w:rPr>
        <w:t xml:space="preserve"> of the IMO e-Navigation Correspondence Group.</w:t>
      </w:r>
    </w:p>
    <w:p w14:paraId="4A1C0D5D" w14:textId="77777777" w:rsidR="00282526" w:rsidRPr="00282526" w:rsidRDefault="00282526" w:rsidP="00C62E9C">
      <w:pPr>
        <w:pStyle w:val="AnnexHeading1"/>
      </w:pPr>
      <w:r w:rsidRPr="00282526">
        <w:t>DISCUSSION</w:t>
      </w:r>
    </w:p>
    <w:p w14:paraId="3139821A" w14:textId="77777777" w:rsidR="00282526" w:rsidRPr="00282526" w:rsidRDefault="00282526" w:rsidP="00C62E9C">
      <w:pPr>
        <w:pStyle w:val="AnnexHeading2"/>
      </w:pPr>
      <w:r w:rsidRPr="00282526">
        <w:t>e-Navigation Solutions</w:t>
      </w:r>
    </w:p>
    <w:p w14:paraId="0640E6B5" w14:textId="77777777" w:rsidR="00282526" w:rsidRPr="00282526" w:rsidRDefault="00282526" w:rsidP="00C62E9C">
      <w:pPr>
        <w:pStyle w:val="BodyText"/>
        <w:rPr>
          <w:rFonts w:eastAsia="Calibri"/>
        </w:rPr>
      </w:pPr>
      <w:r w:rsidRPr="00282526">
        <w:rPr>
          <w:rFonts w:eastAsia="Calibri"/>
        </w:rPr>
        <w:t>Potential e-navigation solutions have been grouped into the following broad categories:</w:t>
      </w:r>
    </w:p>
    <w:p w14:paraId="02DF5745" w14:textId="77777777" w:rsidR="00282526" w:rsidRPr="00282526" w:rsidRDefault="00282526" w:rsidP="00C62E9C">
      <w:pPr>
        <w:pStyle w:val="Bullet1"/>
      </w:pPr>
      <w:r w:rsidRPr="00282526">
        <w:t>S1 Improved, harmonized and user-friendly bridge design;</w:t>
      </w:r>
    </w:p>
    <w:p w14:paraId="4D23974E" w14:textId="77777777" w:rsidR="00282526" w:rsidRPr="00282526" w:rsidRDefault="00282526" w:rsidP="00C62E9C">
      <w:pPr>
        <w:pStyle w:val="Bullet1"/>
      </w:pPr>
      <w:r w:rsidRPr="00282526">
        <w:t>S2 Means for standardized and automated reporting;</w:t>
      </w:r>
    </w:p>
    <w:p w14:paraId="69706FBD" w14:textId="77777777" w:rsidR="00282526" w:rsidRPr="00282526" w:rsidRDefault="00282526" w:rsidP="00C62E9C">
      <w:pPr>
        <w:pStyle w:val="Bullet1"/>
      </w:pPr>
      <w:r w:rsidRPr="00282526">
        <w:t>S3 Improved reliability, resilience and integrity of bridge equipment and navigation information;</w:t>
      </w:r>
    </w:p>
    <w:p w14:paraId="197BA5CA" w14:textId="77777777" w:rsidR="00282526" w:rsidRPr="00282526" w:rsidRDefault="00282526" w:rsidP="00C62E9C">
      <w:pPr>
        <w:pStyle w:val="Bullet1"/>
      </w:pPr>
      <w:r w:rsidRPr="00282526">
        <w:t>S4 Integration and presentation of available information in graphical displays received via communication equipment;</w:t>
      </w:r>
    </w:p>
    <w:p w14:paraId="37940116" w14:textId="77777777" w:rsidR="00282526" w:rsidRPr="00282526" w:rsidRDefault="00282526" w:rsidP="00C62E9C">
      <w:pPr>
        <w:pStyle w:val="Bullet1"/>
      </w:pPr>
      <w:r w:rsidRPr="00282526">
        <w:t>S5 Information management;</w:t>
      </w:r>
    </w:p>
    <w:p w14:paraId="43FA8681" w14:textId="77777777" w:rsidR="00282526" w:rsidRPr="00282526" w:rsidRDefault="00282526" w:rsidP="00C62E9C">
      <w:pPr>
        <w:pStyle w:val="Bullet1"/>
      </w:pPr>
      <w:r w:rsidRPr="00282526">
        <w:t>S6 Improved access to relevant information for Search and Rescue;</w:t>
      </w:r>
    </w:p>
    <w:p w14:paraId="7D06D0B6" w14:textId="77777777" w:rsidR="00282526" w:rsidRPr="00282526" w:rsidRDefault="00282526" w:rsidP="00C62E9C">
      <w:pPr>
        <w:pStyle w:val="Bullet1"/>
      </w:pPr>
      <w:r w:rsidRPr="00282526">
        <w:t>S7 Improved reliability, resilience and integrity of bridge equipment and navigation information for shore-based users;</w:t>
      </w:r>
    </w:p>
    <w:p w14:paraId="0981CBC2" w14:textId="24FE7E87" w:rsidR="00282526" w:rsidRPr="00282526" w:rsidRDefault="00282526" w:rsidP="00C62E9C">
      <w:pPr>
        <w:pStyle w:val="Bullet1"/>
      </w:pPr>
      <w:r w:rsidRPr="00282526">
        <w:t xml:space="preserve">S8 Improved and harmonized shore-based systems and services; </w:t>
      </w:r>
      <w:r w:rsidR="00C62E9C">
        <w:t xml:space="preserve"> </w:t>
      </w:r>
      <w:r w:rsidRPr="00282526">
        <w:t>and</w:t>
      </w:r>
    </w:p>
    <w:p w14:paraId="53728BD8" w14:textId="77777777" w:rsidR="00282526" w:rsidRPr="00282526" w:rsidRDefault="00282526" w:rsidP="00C62E9C">
      <w:pPr>
        <w:pStyle w:val="Bullet1"/>
      </w:pPr>
      <w:r w:rsidRPr="00282526">
        <w:t>S9 Improved communication of VTS service portfolio.</w:t>
      </w:r>
    </w:p>
    <w:p w14:paraId="6C6BCA69" w14:textId="77777777" w:rsidR="00282526" w:rsidRPr="00282526" w:rsidRDefault="00282526" w:rsidP="00C62E9C">
      <w:pPr>
        <w:pStyle w:val="AnnexHeading2"/>
      </w:pPr>
      <w:r w:rsidRPr="00282526">
        <w:t>Maritime Service Portfolios</w:t>
      </w:r>
    </w:p>
    <w:p w14:paraId="7E412264" w14:textId="77777777" w:rsidR="00282526" w:rsidRPr="00282526" w:rsidRDefault="00282526" w:rsidP="00C62E9C">
      <w:pPr>
        <w:pStyle w:val="BodyText"/>
        <w:rPr>
          <w:rFonts w:eastAsia="Calibri"/>
        </w:rPr>
      </w:pPr>
      <w:r w:rsidRPr="00282526">
        <w:rPr>
          <w:rFonts w:eastAsia="Calibri"/>
        </w:rPr>
        <w:t>A Maritime Service Portfolio (MSP) can be defined as: An organised collection of operational and technical services provided from ashore to the mariner, in a given sea area, waterway, or port, as appropriate.</w:t>
      </w:r>
    </w:p>
    <w:p w14:paraId="23D14719" w14:textId="66E74938" w:rsidR="00282526" w:rsidRPr="00282526" w:rsidRDefault="00282526" w:rsidP="00C62E9C">
      <w:pPr>
        <w:pStyle w:val="BodyText"/>
        <w:rPr>
          <w:rFonts w:eastAsia="Calibri"/>
        </w:rPr>
      </w:pPr>
      <w:r w:rsidRPr="00282526">
        <w:rPr>
          <w:rFonts w:eastAsia="Calibri"/>
        </w:rPr>
        <w:t>A comprehensive description of the following MSPs can be found in e-NAV12/81 Annex 4.  However, that</w:t>
      </w:r>
      <w:r w:rsidR="0085287C">
        <w:rPr>
          <w:rFonts w:eastAsia="Calibri"/>
        </w:rPr>
        <w:t xml:space="preserve"> list has been modified by the Correspondence G</w:t>
      </w:r>
      <w:r w:rsidRPr="00282526">
        <w:rPr>
          <w:rFonts w:eastAsia="Calibri"/>
        </w:rPr>
        <w:t>roup as follows:</w:t>
      </w:r>
    </w:p>
    <w:p w14:paraId="2EA14BCC" w14:textId="2A0E558F" w:rsidR="00282526" w:rsidRPr="00282526" w:rsidRDefault="00282526" w:rsidP="00C62E9C">
      <w:pPr>
        <w:pStyle w:val="Bullet1"/>
      </w:pPr>
      <w:r w:rsidRPr="00282526">
        <w:t>VTS Information Service (INS)</w:t>
      </w:r>
      <w:r w:rsidR="00C62E9C">
        <w:t>;</w:t>
      </w:r>
    </w:p>
    <w:p w14:paraId="7CE5900C" w14:textId="582CCD38" w:rsidR="00282526" w:rsidRPr="00282526" w:rsidRDefault="00282526" w:rsidP="00C62E9C">
      <w:pPr>
        <w:pStyle w:val="Bullet1"/>
      </w:pPr>
      <w:r w:rsidRPr="00282526">
        <w:t>Navigation Assistance Service (NAS)</w:t>
      </w:r>
      <w:r w:rsidR="00D61A41">
        <w:t>;</w:t>
      </w:r>
    </w:p>
    <w:p w14:paraId="0DD40C61" w14:textId="596D7BA2" w:rsidR="00282526" w:rsidRPr="00282526" w:rsidRDefault="00282526" w:rsidP="00C62E9C">
      <w:pPr>
        <w:pStyle w:val="Bullet1"/>
      </w:pPr>
      <w:r w:rsidRPr="00282526">
        <w:t>Traffic Organization Service (TOS)</w:t>
      </w:r>
      <w:r w:rsidR="00D61A41">
        <w:t>;</w:t>
      </w:r>
    </w:p>
    <w:p w14:paraId="1AEBADFF" w14:textId="2D7D97F5" w:rsidR="00282526" w:rsidRPr="00282526" w:rsidRDefault="00282526" w:rsidP="00C62E9C">
      <w:pPr>
        <w:pStyle w:val="Bullet1"/>
      </w:pPr>
      <w:r w:rsidRPr="00282526">
        <w:t>Local Port Service (LPS)</w:t>
      </w:r>
      <w:r w:rsidR="00D61A41">
        <w:t>;</w:t>
      </w:r>
    </w:p>
    <w:p w14:paraId="5E7ED16C" w14:textId="463B5B6F" w:rsidR="00282526" w:rsidRPr="00282526" w:rsidRDefault="00282526" w:rsidP="00C62E9C">
      <w:pPr>
        <w:pStyle w:val="Bullet1"/>
      </w:pPr>
      <w:r w:rsidRPr="00282526">
        <w:t>Maritime Safety Information (MSI) service</w:t>
      </w:r>
      <w:r w:rsidR="00D61A41">
        <w:t>;</w:t>
      </w:r>
    </w:p>
    <w:p w14:paraId="42350882" w14:textId="44536262" w:rsidR="00282526" w:rsidRPr="00282526" w:rsidRDefault="00C62E9C" w:rsidP="00C62E9C">
      <w:pPr>
        <w:pStyle w:val="Bullet1"/>
      </w:pPr>
      <w:r>
        <w:t>p</w:t>
      </w:r>
      <w:r w:rsidR="00282526" w:rsidRPr="00282526">
        <w:t>ilotage service</w:t>
      </w:r>
      <w:r w:rsidR="00D61A41">
        <w:t>;</w:t>
      </w:r>
    </w:p>
    <w:p w14:paraId="079428C4" w14:textId="74A6F6B5" w:rsidR="00282526" w:rsidRPr="00282526" w:rsidRDefault="00C62E9C" w:rsidP="00C62E9C">
      <w:pPr>
        <w:pStyle w:val="Bullet1"/>
      </w:pPr>
      <w:proofErr w:type="spellStart"/>
      <w:r>
        <w:t>t</w:t>
      </w:r>
      <w:r w:rsidR="00282526" w:rsidRPr="00282526">
        <w:t>ugs</w:t>
      </w:r>
      <w:proofErr w:type="spellEnd"/>
      <w:r w:rsidR="00282526" w:rsidRPr="00282526">
        <w:t xml:space="preserve"> service</w:t>
      </w:r>
      <w:r w:rsidR="00D61A41">
        <w:t>;</w:t>
      </w:r>
    </w:p>
    <w:p w14:paraId="59EC89E5" w14:textId="64FA62A3" w:rsidR="00282526" w:rsidRPr="00282526" w:rsidRDefault="00C62E9C" w:rsidP="00C62E9C">
      <w:pPr>
        <w:pStyle w:val="Bullet1"/>
      </w:pPr>
      <w:proofErr w:type="spellStart"/>
      <w:r>
        <w:t>v</w:t>
      </w:r>
      <w:r w:rsidR="00282526" w:rsidRPr="00282526">
        <w:t>essel</w:t>
      </w:r>
      <w:proofErr w:type="spellEnd"/>
      <w:r w:rsidR="00282526" w:rsidRPr="00282526">
        <w:t xml:space="preserve"> shore </w:t>
      </w:r>
      <w:proofErr w:type="spellStart"/>
      <w:r w:rsidR="00282526" w:rsidRPr="00282526">
        <w:t>reporting</w:t>
      </w:r>
      <w:proofErr w:type="spellEnd"/>
      <w:r w:rsidR="00D61A41">
        <w:t>;</w:t>
      </w:r>
    </w:p>
    <w:p w14:paraId="6272F3DA" w14:textId="59EC9AC5" w:rsidR="00282526" w:rsidRPr="00282526" w:rsidRDefault="00C62E9C" w:rsidP="00C62E9C">
      <w:pPr>
        <w:pStyle w:val="Bullet1"/>
      </w:pPr>
      <w:proofErr w:type="spellStart"/>
      <w:r>
        <w:t>r</w:t>
      </w:r>
      <w:r w:rsidR="00282526" w:rsidRPr="00282526">
        <w:t>emote</w:t>
      </w:r>
      <w:proofErr w:type="spellEnd"/>
      <w:r w:rsidR="00282526" w:rsidRPr="00282526">
        <w:t xml:space="preserve"> monitoring of </w:t>
      </w:r>
      <w:proofErr w:type="spellStart"/>
      <w:r w:rsidR="00282526" w:rsidRPr="00282526">
        <w:t>ships</w:t>
      </w:r>
      <w:proofErr w:type="spellEnd"/>
      <w:r w:rsidR="00282526" w:rsidRPr="00282526">
        <w:t xml:space="preserve"> </w:t>
      </w:r>
      <w:proofErr w:type="spellStart"/>
      <w:r w:rsidR="00282526" w:rsidRPr="00282526">
        <w:t>systems</w:t>
      </w:r>
      <w:proofErr w:type="spellEnd"/>
      <w:r w:rsidR="00D61A41">
        <w:t>;</w:t>
      </w:r>
    </w:p>
    <w:p w14:paraId="6F01CDFB" w14:textId="7E3F354C" w:rsidR="00282526" w:rsidRPr="00282526" w:rsidRDefault="00282526" w:rsidP="00C62E9C">
      <w:pPr>
        <w:pStyle w:val="Bullet1"/>
      </w:pPr>
      <w:proofErr w:type="spellStart"/>
      <w:r w:rsidRPr="00282526">
        <w:t>Telemedical</w:t>
      </w:r>
      <w:proofErr w:type="spellEnd"/>
      <w:r w:rsidRPr="00282526">
        <w:t xml:space="preserve"> Assistance Service (TMAS)</w:t>
      </w:r>
      <w:r w:rsidR="00D61A41">
        <w:t>;</w:t>
      </w:r>
    </w:p>
    <w:p w14:paraId="33480394" w14:textId="1DC3DE98" w:rsidR="00282526" w:rsidRPr="00282526" w:rsidRDefault="00282526" w:rsidP="00C62E9C">
      <w:pPr>
        <w:pStyle w:val="Bullet1"/>
      </w:pPr>
      <w:r w:rsidRPr="00282526">
        <w:t>Maritime Assistance Service (MAS)</w:t>
      </w:r>
      <w:r w:rsidR="00D61A41">
        <w:t>;</w:t>
      </w:r>
    </w:p>
    <w:p w14:paraId="6CBE2618" w14:textId="43EAB238" w:rsidR="00282526" w:rsidRPr="00282526" w:rsidRDefault="00C62E9C" w:rsidP="00C62E9C">
      <w:pPr>
        <w:pStyle w:val="Bullet1"/>
      </w:pPr>
      <w:proofErr w:type="spellStart"/>
      <w:r>
        <w:t>nautical</w:t>
      </w:r>
      <w:proofErr w:type="spellEnd"/>
      <w:r>
        <w:t xml:space="preserve"> </w:t>
      </w:r>
      <w:proofErr w:type="spellStart"/>
      <w:r>
        <w:t>c</w:t>
      </w:r>
      <w:r w:rsidR="00282526" w:rsidRPr="00282526">
        <w:t>hart</w:t>
      </w:r>
      <w:proofErr w:type="spellEnd"/>
      <w:r w:rsidR="00282526" w:rsidRPr="00282526">
        <w:t xml:space="preserve"> Service</w:t>
      </w:r>
      <w:r w:rsidR="00D61A41">
        <w:t>;</w:t>
      </w:r>
    </w:p>
    <w:p w14:paraId="55C8650C" w14:textId="243FF019" w:rsidR="00282526" w:rsidRPr="00282526" w:rsidRDefault="00C62E9C" w:rsidP="00C62E9C">
      <w:pPr>
        <w:pStyle w:val="Bullet1"/>
      </w:pPr>
      <w:proofErr w:type="spellStart"/>
      <w:r>
        <w:t>n</w:t>
      </w:r>
      <w:r w:rsidR="00282526" w:rsidRPr="00282526">
        <w:t>autical</w:t>
      </w:r>
      <w:proofErr w:type="spellEnd"/>
      <w:r w:rsidR="00282526" w:rsidRPr="00282526">
        <w:t xml:space="preserve"> publications service</w:t>
      </w:r>
      <w:r w:rsidR="00D61A41">
        <w:t>;</w:t>
      </w:r>
    </w:p>
    <w:p w14:paraId="03D960CB" w14:textId="13860AD5" w:rsidR="00282526" w:rsidRPr="00282526" w:rsidRDefault="00C62E9C" w:rsidP="00C62E9C">
      <w:pPr>
        <w:pStyle w:val="Bullet1"/>
      </w:pPr>
      <w:proofErr w:type="spellStart"/>
      <w:r>
        <w:t>i</w:t>
      </w:r>
      <w:r w:rsidR="00282526" w:rsidRPr="00282526">
        <w:t>ce</w:t>
      </w:r>
      <w:proofErr w:type="spellEnd"/>
      <w:r w:rsidR="00282526" w:rsidRPr="00282526">
        <w:t xml:space="preserve"> navigation service</w:t>
      </w:r>
      <w:r w:rsidR="00D61A41">
        <w:t>;</w:t>
      </w:r>
    </w:p>
    <w:p w14:paraId="456300A5" w14:textId="2D626F22" w:rsidR="00282526" w:rsidRPr="00282526" w:rsidRDefault="00C62E9C" w:rsidP="00C62E9C">
      <w:pPr>
        <w:pStyle w:val="Bullet1"/>
      </w:pPr>
      <w:r>
        <w:lastRenderedPageBreak/>
        <w:t>r</w:t>
      </w:r>
      <w:r w:rsidR="00282526" w:rsidRPr="00282526">
        <w:t>eal-time hydrographic  and environmental information services</w:t>
      </w:r>
      <w:r w:rsidR="00D61A41">
        <w:t>;</w:t>
      </w:r>
    </w:p>
    <w:p w14:paraId="1EBCE18D" w14:textId="0982E278" w:rsidR="00282526" w:rsidRPr="00D61A41" w:rsidRDefault="00282526" w:rsidP="00D61A41">
      <w:pPr>
        <w:pStyle w:val="Bullet1"/>
      </w:pPr>
      <w:r w:rsidRPr="00282526">
        <w:t>Search and Rescue (SAR) Service</w:t>
      </w:r>
      <w:r w:rsidR="00D61A41">
        <w:t>.</w:t>
      </w:r>
    </w:p>
    <w:p w14:paraId="4F25B391" w14:textId="77777777" w:rsidR="00282526" w:rsidRPr="00282526" w:rsidRDefault="00282526" w:rsidP="00D61A41">
      <w:pPr>
        <w:pStyle w:val="BodyText"/>
        <w:rPr>
          <w:rFonts w:eastAsia="Calibri"/>
        </w:rPr>
      </w:pPr>
      <w:r w:rsidRPr="00282526">
        <w:rPr>
          <w:rFonts w:eastAsia="Calibri"/>
        </w:rPr>
        <w:t>MSP areas are divided into the following:</w:t>
      </w:r>
    </w:p>
    <w:p w14:paraId="7466AE3E" w14:textId="26E22F8E" w:rsidR="00282526" w:rsidRPr="00282526" w:rsidRDefault="00D61A41" w:rsidP="00D61A41">
      <w:pPr>
        <w:pStyle w:val="Bullet1"/>
      </w:pPr>
      <w:proofErr w:type="spellStart"/>
      <w:r>
        <w:t>h</w:t>
      </w:r>
      <w:r w:rsidR="00282526" w:rsidRPr="00282526">
        <w:t>arbo</w:t>
      </w:r>
      <w:r>
        <w:t>u</w:t>
      </w:r>
      <w:r w:rsidR="00282526" w:rsidRPr="00282526">
        <w:t>r</w:t>
      </w:r>
      <w:proofErr w:type="spellEnd"/>
      <w:r w:rsidR="00282526" w:rsidRPr="00282526">
        <w:t xml:space="preserve"> </w:t>
      </w:r>
      <w:proofErr w:type="spellStart"/>
      <w:r w:rsidR="00282526" w:rsidRPr="00282526">
        <w:t>operations</w:t>
      </w:r>
      <w:proofErr w:type="spellEnd"/>
      <w:r>
        <w:t>;</w:t>
      </w:r>
    </w:p>
    <w:p w14:paraId="2237884C" w14:textId="7D36D0A2" w:rsidR="00282526" w:rsidRPr="00282526" w:rsidRDefault="00D61A41" w:rsidP="00D61A41">
      <w:pPr>
        <w:pStyle w:val="Bullet1"/>
      </w:pPr>
      <w:proofErr w:type="spellStart"/>
      <w:r>
        <w:t>o</w:t>
      </w:r>
      <w:r w:rsidR="00282526" w:rsidRPr="00282526">
        <w:t>perations</w:t>
      </w:r>
      <w:proofErr w:type="spellEnd"/>
      <w:r w:rsidR="00282526" w:rsidRPr="00282526">
        <w:t xml:space="preserve"> in </w:t>
      </w:r>
      <w:proofErr w:type="spellStart"/>
      <w:r w:rsidR="00282526" w:rsidRPr="00282526">
        <w:t>coastal</w:t>
      </w:r>
      <w:proofErr w:type="spellEnd"/>
      <w:r w:rsidR="00282526" w:rsidRPr="00282526">
        <w:t xml:space="preserve"> and confined or restricted waters</w:t>
      </w:r>
      <w:r>
        <w:t>;</w:t>
      </w:r>
    </w:p>
    <w:p w14:paraId="4774842E" w14:textId="3AEEDC26" w:rsidR="00282526" w:rsidRPr="00282526" w:rsidRDefault="00D61A41" w:rsidP="00D61A41">
      <w:pPr>
        <w:pStyle w:val="Bullet1"/>
      </w:pPr>
      <w:proofErr w:type="spellStart"/>
      <w:r>
        <w:t>t</w:t>
      </w:r>
      <w:r w:rsidR="00282526" w:rsidRPr="00282526">
        <w:t>ransocean</w:t>
      </w:r>
      <w:proofErr w:type="spellEnd"/>
      <w:r w:rsidR="00282526" w:rsidRPr="00282526">
        <w:t xml:space="preserve"> voyages</w:t>
      </w:r>
      <w:r>
        <w:t>;</w:t>
      </w:r>
    </w:p>
    <w:p w14:paraId="5BFFB7DE" w14:textId="78807D09" w:rsidR="00282526" w:rsidRPr="00282526" w:rsidRDefault="00D61A41" w:rsidP="00D61A41">
      <w:pPr>
        <w:pStyle w:val="Bullet1"/>
      </w:pPr>
      <w:r>
        <w:t>o</w:t>
      </w:r>
      <w:r w:rsidR="00282526" w:rsidRPr="00282526">
        <w:t xml:space="preserve">ffshore </w:t>
      </w:r>
      <w:proofErr w:type="spellStart"/>
      <w:r w:rsidR="00282526" w:rsidRPr="00282526">
        <w:t>operations</w:t>
      </w:r>
      <w:proofErr w:type="spellEnd"/>
      <w:r>
        <w:t>;</w:t>
      </w:r>
    </w:p>
    <w:p w14:paraId="7C3DB3B6" w14:textId="457B5113" w:rsidR="00282526" w:rsidRPr="00282526" w:rsidRDefault="00D61A41" w:rsidP="00D61A41">
      <w:pPr>
        <w:pStyle w:val="Bullet1"/>
      </w:pPr>
      <w:proofErr w:type="spellStart"/>
      <w:r>
        <w:t>o</w:t>
      </w:r>
      <w:r w:rsidR="00282526" w:rsidRPr="00282526">
        <w:t>perations</w:t>
      </w:r>
      <w:proofErr w:type="spellEnd"/>
      <w:r w:rsidR="00282526" w:rsidRPr="00282526">
        <w:t xml:space="preserve"> in </w:t>
      </w:r>
      <w:proofErr w:type="spellStart"/>
      <w:r w:rsidR="00282526" w:rsidRPr="00282526">
        <w:t>Arctic</w:t>
      </w:r>
      <w:proofErr w:type="spellEnd"/>
      <w:r w:rsidR="00282526" w:rsidRPr="00282526">
        <w:t xml:space="preserve">, </w:t>
      </w:r>
      <w:proofErr w:type="spellStart"/>
      <w:r w:rsidR="00282526" w:rsidRPr="00282526">
        <w:t>Antarctic</w:t>
      </w:r>
      <w:proofErr w:type="spellEnd"/>
      <w:r w:rsidR="00282526" w:rsidRPr="00282526">
        <w:t xml:space="preserve"> and remote areas</w:t>
      </w:r>
      <w:r>
        <w:t>.</w:t>
      </w:r>
    </w:p>
    <w:p w14:paraId="662434D1" w14:textId="77777777" w:rsidR="00282526" w:rsidRPr="00282526" w:rsidRDefault="00282526" w:rsidP="00282526">
      <w:pPr>
        <w:numPr>
          <w:ilvl w:val="1"/>
          <w:numId w:val="15"/>
        </w:numPr>
        <w:tabs>
          <w:tab w:val="clear" w:pos="576"/>
          <w:tab w:val="num" w:pos="360"/>
          <w:tab w:val="num" w:pos="851"/>
        </w:tabs>
        <w:spacing w:before="120" w:after="120"/>
        <w:ind w:left="851" w:hanging="851"/>
        <w:outlineLvl w:val="1"/>
        <w:rPr>
          <w:rFonts w:eastAsia="Calibri" w:cs="Calibri"/>
          <w:b/>
          <w:szCs w:val="22"/>
        </w:rPr>
      </w:pPr>
      <w:r w:rsidRPr="00282526">
        <w:rPr>
          <w:rFonts w:eastAsia="Calibri" w:cs="Calibri"/>
          <w:b/>
          <w:szCs w:val="22"/>
        </w:rPr>
        <w:t>Prioritization of Solutions</w:t>
      </w:r>
    </w:p>
    <w:p w14:paraId="160B1EC1" w14:textId="77777777" w:rsidR="00282526" w:rsidRPr="00282526" w:rsidRDefault="00282526" w:rsidP="00D61A41">
      <w:pPr>
        <w:pStyle w:val="BodyText"/>
        <w:rPr>
          <w:rFonts w:eastAsia="Calibri"/>
        </w:rPr>
      </w:pPr>
      <w:r w:rsidRPr="00282526">
        <w:rPr>
          <w:rFonts w:eastAsia="Calibri"/>
        </w:rPr>
        <w:t>A prioritization of the above solutions resulted in the following being selected as ‘higher priority’ solutions:</w:t>
      </w:r>
    </w:p>
    <w:p w14:paraId="43A78A03" w14:textId="54A3C83D" w:rsidR="00282526" w:rsidRPr="00282526" w:rsidRDefault="00282526" w:rsidP="00D61A41">
      <w:pPr>
        <w:pStyle w:val="Bullet1"/>
      </w:pPr>
      <w:r w:rsidRPr="00282526">
        <w:t>S1 Improved, harmonized and user-friendly bridge design</w:t>
      </w:r>
      <w:r w:rsidR="00D61A41">
        <w:t>;</w:t>
      </w:r>
    </w:p>
    <w:p w14:paraId="0D665BE7" w14:textId="24B1D16C" w:rsidR="00282526" w:rsidRPr="00282526" w:rsidRDefault="00282526" w:rsidP="00D61A41">
      <w:pPr>
        <w:pStyle w:val="Bullet1"/>
      </w:pPr>
      <w:r w:rsidRPr="00282526">
        <w:t xml:space="preserve">S2 </w:t>
      </w:r>
      <w:proofErr w:type="spellStart"/>
      <w:r w:rsidRPr="00282526">
        <w:t>Means</w:t>
      </w:r>
      <w:proofErr w:type="spellEnd"/>
      <w:r w:rsidRPr="00282526">
        <w:t xml:space="preserve"> for </w:t>
      </w:r>
      <w:proofErr w:type="spellStart"/>
      <w:r w:rsidRPr="00282526">
        <w:t>standardized</w:t>
      </w:r>
      <w:proofErr w:type="spellEnd"/>
      <w:r w:rsidRPr="00282526">
        <w:t xml:space="preserve"> and </w:t>
      </w:r>
      <w:proofErr w:type="spellStart"/>
      <w:r w:rsidRPr="00282526">
        <w:t>automated</w:t>
      </w:r>
      <w:proofErr w:type="spellEnd"/>
      <w:r w:rsidRPr="00282526">
        <w:t xml:space="preserve"> </w:t>
      </w:r>
      <w:proofErr w:type="spellStart"/>
      <w:r w:rsidRPr="00282526">
        <w:t>reporting</w:t>
      </w:r>
      <w:proofErr w:type="spellEnd"/>
      <w:r w:rsidR="00D61A41">
        <w:t>;</w:t>
      </w:r>
    </w:p>
    <w:p w14:paraId="2AE052FC" w14:textId="0FBF547A" w:rsidR="00282526" w:rsidRPr="00282526" w:rsidRDefault="00282526" w:rsidP="00D61A41">
      <w:pPr>
        <w:pStyle w:val="Bullet1"/>
      </w:pPr>
      <w:r w:rsidRPr="00282526">
        <w:t>S3 Improved reliability, resilience and integrity of bridge equipment and navigation information</w:t>
      </w:r>
      <w:r w:rsidR="00D61A41">
        <w:t>;</w:t>
      </w:r>
    </w:p>
    <w:p w14:paraId="7ADC4B82" w14:textId="0417AD70" w:rsidR="00282526" w:rsidRPr="00282526" w:rsidRDefault="00282526" w:rsidP="00D61A41">
      <w:pPr>
        <w:pStyle w:val="Bullet1"/>
      </w:pPr>
      <w:r w:rsidRPr="00282526">
        <w:t xml:space="preserve">S4 Integration and presentation of available information in </w:t>
      </w:r>
      <w:proofErr w:type="spellStart"/>
      <w:r w:rsidRPr="00282526">
        <w:t>graphical</w:t>
      </w:r>
      <w:proofErr w:type="spellEnd"/>
      <w:r w:rsidRPr="00282526">
        <w:t xml:space="preserve"> displays </w:t>
      </w:r>
      <w:proofErr w:type="spellStart"/>
      <w:r w:rsidRPr="00282526">
        <w:t>received</w:t>
      </w:r>
      <w:proofErr w:type="spellEnd"/>
      <w:r w:rsidRPr="00282526">
        <w:t xml:space="preserve"> via communication </w:t>
      </w:r>
      <w:proofErr w:type="spellStart"/>
      <w:r w:rsidRPr="00282526">
        <w:t>equipment</w:t>
      </w:r>
      <w:proofErr w:type="spellEnd"/>
      <w:r w:rsidR="00D61A41">
        <w:t>;</w:t>
      </w:r>
    </w:p>
    <w:p w14:paraId="7049C2BE" w14:textId="0829FAC5" w:rsidR="00282526" w:rsidRPr="00282526" w:rsidRDefault="00282526" w:rsidP="00D61A41">
      <w:pPr>
        <w:pStyle w:val="Bullet1"/>
      </w:pPr>
      <w:r w:rsidRPr="00282526">
        <w:t>S9 Improved communication of VTS service portfolio</w:t>
      </w:r>
      <w:r w:rsidR="00D61A41">
        <w:t>;</w:t>
      </w:r>
    </w:p>
    <w:p w14:paraId="58C0F16D" w14:textId="1FA7672F" w:rsidR="00282526" w:rsidRDefault="00A532E3" w:rsidP="00D61A41">
      <w:pPr>
        <w:pStyle w:val="BodyText"/>
        <w:rPr>
          <w:rFonts w:eastAsia="Calibri"/>
        </w:rPr>
      </w:pPr>
      <w:r>
        <w:rPr>
          <w:rFonts w:eastAsia="Calibri"/>
        </w:rPr>
        <w:t xml:space="preserve">IALA, as representative of Aids to Navigation service administrators and providers, sees the need to bridge ship – shore interfaces.  It is believed that the current list of potential e-Navigation solutions and MSPs </w:t>
      </w:r>
      <w:r w:rsidR="00B0754A">
        <w:rPr>
          <w:rFonts w:eastAsia="Calibri"/>
        </w:rPr>
        <w:t>should</w:t>
      </w:r>
      <w:r>
        <w:rPr>
          <w:rFonts w:eastAsia="Calibri"/>
        </w:rPr>
        <w:t xml:space="preserve"> only</w:t>
      </w:r>
      <w:r w:rsidR="00B0754A">
        <w:rPr>
          <w:rFonts w:eastAsia="Calibri"/>
        </w:rPr>
        <w:t xml:space="preserve"> be considered</w:t>
      </w:r>
      <w:r>
        <w:rPr>
          <w:rFonts w:eastAsia="Calibri"/>
        </w:rPr>
        <w:t xml:space="preserve"> preliminary.  </w:t>
      </w:r>
      <w:r w:rsidR="00282526" w:rsidRPr="00282526">
        <w:rPr>
          <w:rFonts w:eastAsia="Calibri"/>
        </w:rPr>
        <w:t xml:space="preserve">Of the prioritized solutions, IALA’s </w:t>
      </w:r>
      <w:r>
        <w:rPr>
          <w:rFonts w:eastAsia="Calibri"/>
        </w:rPr>
        <w:t xml:space="preserve">primary </w:t>
      </w:r>
      <w:r w:rsidR="00F47FEE">
        <w:rPr>
          <w:rFonts w:eastAsia="Calibri"/>
        </w:rPr>
        <w:t>responsibilities</w:t>
      </w:r>
      <w:r w:rsidR="00282526" w:rsidRPr="00282526">
        <w:rPr>
          <w:rFonts w:eastAsia="Calibri"/>
        </w:rPr>
        <w:t xml:space="preserve"> may be applied </w:t>
      </w:r>
      <w:r w:rsidR="00B0754A">
        <w:rPr>
          <w:rFonts w:eastAsia="Calibri"/>
        </w:rPr>
        <w:t>to the following solutions and MSPs</w:t>
      </w:r>
      <w:r w:rsidR="00282526" w:rsidRPr="00282526">
        <w:rPr>
          <w:rFonts w:eastAsia="Calibri"/>
        </w:rPr>
        <w:t>:</w:t>
      </w:r>
    </w:p>
    <w:p w14:paraId="7A493682" w14:textId="19B62991" w:rsidR="00045469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t>S1</w:t>
      </w:r>
      <w:r>
        <w:tab/>
      </w:r>
      <w:r w:rsidR="00045469" w:rsidRPr="00282526">
        <w:t>Improved, harmonized and user-friendly bridge design</w:t>
      </w:r>
      <w:r w:rsidR="00045469">
        <w:t xml:space="preserve"> (not </w:t>
      </w:r>
      <w:r w:rsidR="008E41AA">
        <w:t>a</w:t>
      </w:r>
      <w:r w:rsidR="00045469">
        <w:t xml:space="preserve"> responsibility of IALA).</w:t>
      </w:r>
    </w:p>
    <w:p w14:paraId="7CFACCEB" w14:textId="0043D20D" w:rsidR="00282526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rPr>
          <w:rFonts w:eastAsia="Calibri"/>
        </w:rPr>
        <w:t>S2</w:t>
      </w:r>
      <w:r>
        <w:rPr>
          <w:rFonts w:eastAsia="Calibri"/>
        </w:rPr>
        <w:tab/>
      </w:r>
      <w:r w:rsidR="00282526" w:rsidRPr="00282526">
        <w:rPr>
          <w:rFonts w:eastAsia="Calibri"/>
        </w:rPr>
        <w:t>Means for standardized and automated reporting</w:t>
      </w:r>
      <w:r w:rsidR="0085287C">
        <w:rPr>
          <w:rFonts w:eastAsia="Calibri"/>
        </w:rPr>
        <w:t>:</w:t>
      </w:r>
    </w:p>
    <w:p w14:paraId="3C9449E8" w14:textId="77777777" w:rsidR="00282526" w:rsidRPr="00282526" w:rsidRDefault="004036E2" w:rsidP="004036E2">
      <w:pPr>
        <w:pStyle w:val="Bullet1"/>
      </w:pPr>
      <w:proofErr w:type="spellStart"/>
      <w:r>
        <w:t>v</w:t>
      </w:r>
      <w:r w:rsidR="00282526" w:rsidRPr="00282526">
        <w:t>essel</w:t>
      </w:r>
      <w:proofErr w:type="spellEnd"/>
      <w:r w:rsidR="00282526" w:rsidRPr="00282526">
        <w:t xml:space="preserve"> shore </w:t>
      </w:r>
      <w:proofErr w:type="spellStart"/>
      <w:r w:rsidR="00282526" w:rsidRPr="00282526">
        <w:t>reporting</w:t>
      </w:r>
      <w:proofErr w:type="spellEnd"/>
      <w:r>
        <w:t>.</w:t>
      </w:r>
    </w:p>
    <w:p w14:paraId="67C7B4A9" w14:textId="3247E2C7" w:rsidR="00045469" w:rsidRDefault="00CE3AF5" w:rsidP="00CE3AF5">
      <w:pPr>
        <w:pStyle w:val="BodyText"/>
        <w:ind w:left="567" w:hanging="567"/>
      </w:pPr>
      <w:r>
        <w:t>S3</w:t>
      </w:r>
      <w:r>
        <w:tab/>
      </w:r>
      <w:r w:rsidR="00045469" w:rsidRPr="00282526">
        <w:t>Improved reliability, resilience and integrity of bridge equipment and navigation information</w:t>
      </w:r>
      <w:r w:rsidR="00045469">
        <w:t xml:space="preserve"> (not </w:t>
      </w:r>
      <w:r w:rsidR="008E41AA">
        <w:t>a</w:t>
      </w:r>
      <w:r w:rsidR="00045469">
        <w:t xml:space="preserve"> responsibility of IALA).</w:t>
      </w:r>
    </w:p>
    <w:p w14:paraId="53F2A044" w14:textId="57F0FE8D" w:rsidR="00B0754A" w:rsidRDefault="00B0754A" w:rsidP="00B0754A">
      <w:pPr>
        <w:pStyle w:val="BodyText"/>
        <w:ind w:left="567"/>
        <w:rPr>
          <w:rFonts w:eastAsia="Calibri"/>
        </w:rPr>
      </w:pPr>
      <w:r>
        <w:rPr>
          <w:rFonts w:eastAsia="Calibri"/>
        </w:rPr>
        <w:t>The IALA e-Navigation Committee considers that solutions S4 and S9</w:t>
      </w:r>
      <w:r w:rsidR="0037346D">
        <w:rPr>
          <w:rFonts w:eastAsia="Calibri"/>
        </w:rPr>
        <w:t xml:space="preserve"> should be taken together and that the compendium of MSPs may be applied to each.</w:t>
      </w:r>
    </w:p>
    <w:p w14:paraId="1FE430E9" w14:textId="0945770F" w:rsidR="00282526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rPr>
          <w:rFonts w:eastAsia="Calibri"/>
        </w:rPr>
        <w:t>S4</w:t>
      </w:r>
      <w:r>
        <w:rPr>
          <w:rFonts w:eastAsia="Calibri"/>
        </w:rPr>
        <w:tab/>
      </w:r>
      <w:r w:rsidR="00282526" w:rsidRPr="00282526">
        <w:rPr>
          <w:rFonts w:eastAsia="Calibri"/>
        </w:rPr>
        <w:t>Integration and presentation of available information in graphical displays received via communication equipment</w:t>
      </w:r>
      <w:r w:rsidR="00023A69">
        <w:rPr>
          <w:rFonts w:eastAsia="Calibri"/>
        </w:rPr>
        <w:t>.</w:t>
      </w:r>
    </w:p>
    <w:p w14:paraId="76FF7DEC" w14:textId="1D84C34F" w:rsidR="00282526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rPr>
          <w:rFonts w:eastAsia="Calibri"/>
        </w:rPr>
        <w:t>S9</w:t>
      </w:r>
      <w:r>
        <w:rPr>
          <w:rFonts w:eastAsia="Calibri"/>
        </w:rPr>
        <w:tab/>
      </w:r>
      <w:r w:rsidR="00282526" w:rsidRPr="00282526">
        <w:rPr>
          <w:rFonts w:eastAsia="Calibri"/>
        </w:rPr>
        <w:t>Improved communication of VTS service portfolio</w:t>
      </w:r>
      <w:r w:rsidR="00023A69">
        <w:rPr>
          <w:rFonts w:eastAsia="Calibri"/>
        </w:rPr>
        <w:t>.</w:t>
      </w:r>
    </w:p>
    <w:p w14:paraId="67D26BC8" w14:textId="77777777" w:rsidR="00282526" w:rsidRPr="00282526" w:rsidRDefault="00282526" w:rsidP="00077BB5">
      <w:pPr>
        <w:pStyle w:val="Heading2"/>
      </w:pPr>
      <w:r w:rsidRPr="00282526">
        <w:t>Basic Infrastructure</w:t>
      </w:r>
    </w:p>
    <w:p w14:paraId="0E7DD2EB" w14:textId="77777777" w:rsidR="00282526" w:rsidRPr="00282526" w:rsidRDefault="00282526" w:rsidP="0085287C">
      <w:pPr>
        <w:pStyle w:val="BodyText"/>
        <w:rPr>
          <w:rFonts w:eastAsia="Calibri"/>
        </w:rPr>
      </w:pPr>
      <w:r w:rsidRPr="00282526">
        <w:rPr>
          <w:rFonts w:eastAsia="Calibri"/>
        </w:rPr>
        <w:t>The current list of MSPs does not include the basic infrastructure required for e-Navigation to work, such as Resilient PNT and Communications.  These are treated as Risk Control Options and should be covered in the cos</w:t>
      </w:r>
      <w:r w:rsidR="00077BB5">
        <w:rPr>
          <w:rFonts w:eastAsia="Calibri"/>
        </w:rPr>
        <w:t>t benefit analysis in that way.</w:t>
      </w:r>
    </w:p>
    <w:p w14:paraId="0C112D22" w14:textId="77777777" w:rsidR="00077BB5" w:rsidRPr="00B15B24" w:rsidRDefault="00077BB5" w:rsidP="00077BB5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09FD27D4" w14:textId="77777777" w:rsidR="005A22B1" w:rsidRPr="00077BB5" w:rsidRDefault="00077BB5" w:rsidP="004036E2">
      <w:pPr>
        <w:pStyle w:val="BodyText"/>
      </w:pPr>
      <w:r w:rsidRPr="00B15B24">
        <w:t xml:space="preserve">The </w:t>
      </w:r>
      <w:r>
        <w:t xml:space="preserve">Correspondence Group </w:t>
      </w:r>
      <w:r w:rsidRPr="00B15B24">
        <w:t xml:space="preserve">is </w:t>
      </w:r>
      <w:r>
        <w:t>invited to consider the information provided.</w:t>
      </w:r>
    </w:p>
    <w:sectPr w:rsidR="005A22B1" w:rsidRPr="00077BB5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880E7" w14:textId="77777777" w:rsidR="00BA29D3" w:rsidRDefault="00BA29D3" w:rsidP="003F09F0">
      <w:r>
        <w:separator/>
      </w:r>
    </w:p>
  </w:endnote>
  <w:endnote w:type="continuationSeparator" w:id="0">
    <w:p w14:paraId="52EEA379" w14:textId="77777777" w:rsidR="00BA29D3" w:rsidRDefault="00BA29D3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656AE" w14:textId="77777777" w:rsidR="00872241" w:rsidRPr="003F09F0" w:rsidRDefault="00872241">
    <w:pPr>
      <w:pStyle w:val="Footer"/>
      <w:rPr>
        <w:lang w:val="en-GB"/>
      </w:rPr>
    </w:pPr>
    <w:r>
      <w:rPr>
        <w:lang w:val="en-GB"/>
      </w:rPr>
      <w:tab/>
    </w:r>
    <w:r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Pr="003F09F0">
      <w:rPr>
        <w:lang w:val="en-GB"/>
      </w:rPr>
      <w:fldChar w:fldCharType="separate"/>
    </w:r>
    <w:r w:rsidR="002272BE">
      <w:rPr>
        <w:noProof/>
        <w:lang w:val="en-GB"/>
      </w:rPr>
      <w:t>3</w:t>
    </w:r>
    <w:r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63A46" w14:textId="77777777" w:rsidR="00872241" w:rsidRDefault="00872241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272B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3C10D" w14:textId="77777777" w:rsidR="00BA29D3" w:rsidRDefault="00BA29D3" w:rsidP="003F09F0">
      <w:r>
        <w:separator/>
      </w:r>
    </w:p>
  </w:footnote>
  <w:footnote w:type="continuationSeparator" w:id="0">
    <w:p w14:paraId="1AAABD47" w14:textId="77777777" w:rsidR="00BA29D3" w:rsidRDefault="00BA29D3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B2335" w14:textId="77777777" w:rsidR="00872241" w:rsidRPr="003F09F0" w:rsidRDefault="00872241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DBBA2" w14:textId="77777777" w:rsidR="00872241" w:rsidRPr="003F09F0" w:rsidRDefault="0087224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FF2757" wp14:editId="731136DD">
              <wp:simplePos x="0" y="0"/>
              <wp:positionH relativeFrom="column">
                <wp:posOffset>3255562</wp:posOffset>
              </wp:positionH>
              <wp:positionV relativeFrom="paragraph">
                <wp:posOffset>-10189</wp:posOffset>
              </wp:positionV>
              <wp:extent cx="2862580" cy="993913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99391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4332E" w14:textId="07E78E6C" w:rsidR="002272BE" w:rsidRDefault="002272BE" w:rsidP="00C43517">
                          <w:pPr>
                            <w:jc w:val="right"/>
                          </w:pPr>
                          <w:proofErr w:type="gramStart"/>
                          <w:r>
                            <w:t>e-NAV14-12.1.4</w:t>
                          </w:r>
                          <w:proofErr w:type="gramEnd"/>
                        </w:p>
                        <w:p w14:paraId="315B410E" w14:textId="3F5A57D0" w:rsidR="00C43517" w:rsidRDefault="002272BE" w:rsidP="00C43517">
                          <w:pPr>
                            <w:jc w:val="right"/>
                          </w:pPr>
                          <w:r>
                            <w:t xml:space="preserve">Formerly </w:t>
                          </w:r>
                          <w:r w:rsidR="00C43517">
                            <w:t>e-NAV14-13.2.3</w:t>
                          </w:r>
                        </w:p>
                        <w:tbl>
                          <w:tblPr>
                            <w:tblW w:w="0" w:type="auto"/>
                            <w:jc w:val="right"/>
                            <w:tblInd w:w="-269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872241" w:rsidRPr="002138BA" w14:paraId="2CDF5FFB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0A24935" w14:textId="77777777" w:rsidR="00872241" w:rsidRPr="002138BA" w:rsidRDefault="00872241" w:rsidP="002138BA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2138BA">
                                  <w:t>From:</w:t>
                                </w:r>
                                <w:r w:rsidRPr="002138BA">
                                  <w:tab/>
                                  <w:t xml:space="preserve">IALA </w:t>
                                </w:r>
                              </w:p>
                            </w:tc>
                          </w:tr>
                          <w:tr w:rsidR="00872241" w14:paraId="7B83D889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071DEFA" w14:textId="77777777" w:rsidR="00872241" w:rsidRDefault="00872241" w:rsidP="002138BA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>
                                  <w:t>e-NAV 13</w:t>
                                </w:r>
                                <w:r w:rsidRPr="00B15B24">
                                  <w:t>/output/</w:t>
                                </w:r>
                                <w:r>
                                  <w:t>20</w:t>
                                </w:r>
                              </w:p>
                            </w:tc>
                          </w:tr>
                          <w:tr w:rsidR="00872241" w14:paraId="6810B484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0C16F70F" w14:textId="77777777" w:rsidR="00872241" w:rsidRDefault="00872241" w:rsidP="002138BA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 w:rsidRPr="002138BA">
                                  <w:t>2</w:t>
                                </w:r>
                                <w:r>
                                  <w:t>2</w:t>
                                </w:r>
                                <w:r w:rsidRPr="002138BA">
                                  <w:t xml:space="preserve"> March 2013</w:t>
                                </w:r>
                              </w:p>
                            </w:tc>
                          </w:tr>
                        </w:tbl>
                        <w:p w14:paraId="63EA2363" w14:textId="77777777" w:rsidR="00872241" w:rsidRDefault="00872241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.8pt;width:225.4pt;height:7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lzOgQIAAA8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" stroked="f">
              <v:textbox>
                <w:txbxContent>
                  <w:p w14:paraId="4AA4332E" w14:textId="07E78E6C" w:rsidR="002272BE" w:rsidRDefault="002272BE" w:rsidP="00C43517">
                    <w:pPr>
                      <w:jc w:val="right"/>
                    </w:pPr>
                    <w:proofErr w:type="gramStart"/>
                    <w:r>
                      <w:t>e-NAV14-12.1.4</w:t>
                    </w:r>
                    <w:proofErr w:type="gramEnd"/>
                  </w:p>
                  <w:p w14:paraId="315B410E" w14:textId="3F5A57D0" w:rsidR="00C43517" w:rsidRDefault="002272BE" w:rsidP="00C43517">
                    <w:pPr>
                      <w:jc w:val="right"/>
                    </w:pPr>
                    <w:r>
                      <w:t xml:space="preserve">Formerly </w:t>
                    </w:r>
                    <w:r w:rsidR="00C43517">
                      <w:t>e-NAV14-13.2.3</w:t>
                    </w:r>
                  </w:p>
                  <w:tbl>
                    <w:tblPr>
                      <w:tblW w:w="0" w:type="auto"/>
                      <w:jc w:val="right"/>
                      <w:tblInd w:w="-269" w:type="dxa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872241" w:rsidRPr="002138BA" w14:paraId="2CDF5FFB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0A24935" w14:textId="77777777" w:rsidR="00872241" w:rsidRPr="002138BA" w:rsidRDefault="00872241" w:rsidP="002138BA">
                          <w:pPr>
                            <w:tabs>
                              <w:tab w:val="right" w:pos="3719"/>
                            </w:tabs>
                          </w:pPr>
                          <w:r w:rsidRPr="002138BA">
                            <w:t>From:</w:t>
                          </w:r>
                          <w:r w:rsidRPr="002138BA">
                            <w:tab/>
                            <w:t xml:space="preserve">IALA </w:t>
                          </w:r>
                        </w:p>
                      </w:tc>
                    </w:tr>
                    <w:tr w:rsidR="00872241" w14:paraId="7B83D889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071DEFA" w14:textId="77777777" w:rsidR="00872241" w:rsidRDefault="00872241" w:rsidP="002138BA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>
                            <w:t>e-NAV 13</w:t>
                          </w:r>
                          <w:r w:rsidRPr="00B15B24">
                            <w:t>/output/</w:t>
                          </w:r>
                          <w:r>
                            <w:t>20</w:t>
                          </w:r>
                        </w:p>
                      </w:tc>
                    </w:tr>
                    <w:tr w:rsidR="00872241" w14:paraId="6810B484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0C16F70F" w14:textId="77777777" w:rsidR="00872241" w:rsidRDefault="00872241" w:rsidP="002138BA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 w:rsidRPr="002138BA">
                            <w:t>2</w:t>
                          </w:r>
                          <w:r>
                            <w:t>2</w:t>
                          </w:r>
                          <w:r w:rsidRPr="002138BA">
                            <w:t xml:space="preserve"> March 2013</w:t>
                          </w:r>
                        </w:p>
                      </w:tc>
                    </w:tr>
                  </w:tbl>
                  <w:p w14:paraId="63EA2363" w14:textId="77777777" w:rsidR="00872241" w:rsidRDefault="00872241" w:rsidP="000B4199"/>
                </w:txbxContent>
              </v:textbox>
            </v:shape>
          </w:pict>
        </mc:Fallback>
      </mc:AlternateContent>
    </w:r>
    <w:r>
      <w:rPr>
        <w:noProof/>
        <w:lang w:val="en-IE" w:eastAsia="en-IE"/>
      </w:rPr>
      <w:drawing>
        <wp:inline distT="0" distB="0" distL="0" distR="0" wp14:anchorId="4F362CAD" wp14:editId="6C5CD69D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8B7099B"/>
    <w:multiLevelType w:val="hybridMultilevel"/>
    <w:tmpl w:val="67AC9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89E12">
      <w:numFmt w:val="bullet"/>
      <w:lvlText w:val="•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5F57A19"/>
    <w:multiLevelType w:val="hybridMultilevel"/>
    <w:tmpl w:val="A2D2D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87586A"/>
    <w:multiLevelType w:val="hybridMultilevel"/>
    <w:tmpl w:val="53D6C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66741EB"/>
    <w:multiLevelType w:val="hybridMultilevel"/>
    <w:tmpl w:val="20F00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581066"/>
    <w:multiLevelType w:val="hybridMultilevel"/>
    <w:tmpl w:val="64765B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B6A5A"/>
    <w:multiLevelType w:val="hybridMultilevel"/>
    <w:tmpl w:val="ACDE4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1"/>
  </w:num>
  <w:num w:numId="3">
    <w:abstractNumId w:val="16"/>
  </w:num>
  <w:num w:numId="4">
    <w:abstractNumId w:val="16"/>
  </w:num>
  <w:num w:numId="5">
    <w:abstractNumId w:val="8"/>
  </w:num>
  <w:num w:numId="6">
    <w:abstractNumId w:val="17"/>
  </w:num>
  <w:num w:numId="7">
    <w:abstractNumId w:val="12"/>
  </w:num>
  <w:num w:numId="8">
    <w:abstractNumId w:val="0"/>
  </w:num>
  <w:num w:numId="9">
    <w:abstractNumId w:val="6"/>
  </w:num>
  <w:num w:numId="10">
    <w:abstractNumId w:val="18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0"/>
  </w:num>
  <w:num w:numId="18">
    <w:abstractNumId w:val="5"/>
  </w:num>
  <w:num w:numId="19">
    <w:abstractNumId w:val="19"/>
  </w:num>
  <w:num w:numId="20">
    <w:abstractNumId w:val="15"/>
  </w:num>
  <w:num w:numId="21">
    <w:abstractNumId w:val="9"/>
  </w:num>
  <w:num w:numId="22">
    <w:abstractNumId w:val="9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1"/>
  </w:num>
  <w:num w:numId="27">
    <w:abstractNumId w:val="2"/>
  </w:num>
  <w:num w:numId="28">
    <w:abstractNumId w:val="2"/>
  </w:num>
  <w:num w:numId="29">
    <w:abstractNumId w:val="2"/>
  </w:num>
  <w:num w:numId="30">
    <w:abstractNumId w:val="14"/>
  </w:num>
  <w:num w:numId="31">
    <w:abstractNumId w:val="7"/>
  </w:num>
  <w:num w:numId="32">
    <w:abstractNumId w:val="10"/>
  </w:num>
  <w:num w:numId="33">
    <w:abstractNumId w:val="3"/>
  </w:num>
  <w:num w:numId="34">
    <w:abstractNumId w:val="13"/>
  </w:num>
  <w:num w:numId="35">
    <w:abstractNumId w:val="1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23A69"/>
    <w:rsid w:val="00031339"/>
    <w:rsid w:val="00031A92"/>
    <w:rsid w:val="000348ED"/>
    <w:rsid w:val="00036801"/>
    <w:rsid w:val="00041F62"/>
    <w:rsid w:val="00045469"/>
    <w:rsid w:val="00050DA7"/>
    <w:rsid w:val="0007496D"/>
    <w:rsid w:val="00077BB5"/>
    <w:rsid w:val="000A5A01"/>
    <w:rsid w:val="000B4199"/>
    <w:rsid w:val="000C6466"/>
    <w:rsid w:val="000E1F05"/>
    <w:rsid w:val="00102565"/>
    <w:rsid w:val="001144E2"/>
    <w:rsid w:val="00135447"/>
    <w:rsid w:val="00152273"/>
    <w:rsid w:val="001C74CF"/>
    <w:rsid w:val="002138BA"/>
    <w:rsid w:val="002272BE"/>
    <w:rsid w:val="00282526"/>
    <w:rsid w:val="00286CD0"/>
    <w:rsid w:val="0037346D"/>
    <w:rsid w:val="003D55DD"/>
    <w:rsid w:val="003E08EF"/>
    <w:rsid w:val="003F09F0"/>
    <w:rsid w:val="004036E2"/>
    <w:rsid w:val="00406310"/>
    <w:rsid w:val="00424954"/>
    <w:rsid w:val="00450909"/>
    <w:rsid w:val="004703E9"/>
    <w:rsid w:val="004C220D"/>
    <w:rsid w:val="005453A6"/>
    <w:rsid w:val="0057083F"/>
    <w:rsid w:val="005A0926"/>
    <w:rsid w:val="005A22B1"/>
    <w:rsid w:val="005D05AC"/>
    <w:rsid w:val="005D13E3"/>
    <w:rsid w:val="00630F7F"/>
    <w:rsid w:val="0064435F"/>
    <w:rsid w:val="006C24A0"/>
    <w:rsid w:val="006E3952"/>
    <w:rsid w:val="006F3942"/>
    <w:rsid w:val="00727E88"/>
    <w:rsid w:val="007501F3"/>
    <w:rsid w:val="00775878"/>
    <w:rsid w:val="00785F11"/>
    <w:rsid w:val="0085287C"/>
    <w:rsid w:val="00872241"/>
    <w:rsid w:val="00872453"/>
    <w:rsid w:val="008B301E"/>
    <w:rsid w:val="008E41AA"/>
    <w:rsid w:val="00902AA4"/>
    <w:rsid w:val="00975642"/>
    <w:rsid w:val="009F3B6C"/>
    <w:rsid w:val="009F5C36"/>
    <w:rsid w:val="00A27F12"/>
    <w:rsid w:val="00A30579"/>
    <w:rsid w:val="00A532E3"/>
    <w:rsid w:val="00AA76C0"/>
    <w:rsid w:val="00AB6481"/>
    <w:rsid w:val="00AF21AC"/>
    <w:rsid w:val="00B0754A"/>
    <w:rsid w:val="00B077EC"/>
    <w:rsid w:val="00B15B24"/>
    <w:rsid w:val="00B8247E"/>
    <w:rsid w:val="00BA29D3"/>
    <w:rsid w:val="00BF48F3"/>
    <w:rsid w:val="00C064EF"/>
    <w:rsid w:val="00C43517"/>
    <w:rsid w:val="00C62E9C"/>
    <w:rsid w:val="00CE3AF5"/>
    <w:rsid w:val="00D06745"/>
    <w:rsid w:val="00D61A41"/>
    <w:rsid w:val="00E06C14"/>
    <w:rsid w:val="00E64E0D"/>
    <w:rsid w:val="00E93C9B"/>
    <w:rsid w:val="00EE3F2F"/>
    <w:rsid w:val="00F47FEE"/>
    <w:rsid w:val="00F54564"/>
    <w:rsid w:val="00F77094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C405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Guest Invité IALA</dc:creator>
  <cp:lastModifiedBy>Seamus Doyle</cp:lastModifiedBy>
  <cp:revision>3</cp:revision>
  <cp:lastPrinted>2006-10-19T10:49:00Z</cp:lastPrinted>
  <dcterms:created xsi:type="dcterms:W3CDTF">2013-08-13T12:52:00Z</dcterms:created>
  <dcterms:modified xsi:type="dcterms:W3CDTF">2013-09-09T15:19:00Z</dcterms:modified>
</cp:coreProperties>
</file>